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FE" w:rsidRDefault="004501F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501FE" w:rsidRDefault="004501FE">
      <w:pPr>
        <w:pStyle w:val="ConsPlusNormal"/>
        <w:jc w:val="both"/>
        <w:outlineLvl w:val="0"/>
      </w:pPr>
    </w:p>
    <w:p w:rsidR="004501FE" w:rsidRDefault="004501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01FE" w:rsidRDefault="004501FE">
      <w:pPr>
        <w:pStyle w:val="ConsPlusTitle"/>
        <w:jc w:val="center"/>
      </w:pPr>
    </w:p>
    <w:p w:rsidR="004501FE" w:rsidRDefault="004501FE">
      <w:pPr>
        <w:pStyle w:val="ConsPlusTitle"/>
        <w:jc w:val="center"/>
      </w:pPr>
      <w:r>
        <w:t>ПОСТАНОВЛЕНИЕ</w:t>
      </w:r>
    </w:p>
    <w:p w:rsidR="004501FE" w:rsidRDefault="004501FE">
      <w:pPr>
        <w:pStyle w:val="ConsPlusTitle"/>
        <w:jc w:val="center"/>
      </w:pPr>
      <w:r>
        <w:t>от 15 сентября 2020 г. N 1437</w:t>
      </w:r>
    </w:p>
    <w:p w:rsidR="004501FE" w:rsidRDefault="004501FE">
      <w:pPr>
        <w:pStyle w:val="ConsPlusTitle"/>
        <w:ind w:firstLine="540"/>
        <w:jc w:val="both"/>
      </w:pPr>
    </w:p>
    <w:p w:rsidR="004501FE" w:rsidRDefault="004501FE">
      <w:pPr>
        <w:pStyle w:val="ConsPlusTitle"/>
        <w:jc w:val="center"/>
      </w:pPr>
      <w:r>
        <w:t>ОБ УТВЕРЖДЕНИИ ПОЛОЖЕНИЯ</w:t>
      </w:r>
    </w:p>
    <w:p w:rsidR="004501FE" w:rsidRDefault="004501FE">
      <w:pPr>
        <w:pStyle w:val="ConsPlusTitle"/>
        <w:jc w:val="center"/>
      </w:pPr>
      <w:r>
        <w:t>О РАЗРАБОТКЕ ПЛАНОВ МЕРОПРИЯТИЙ ПО ЛОКАЛИЗАЦИИ И ЛИКВИДАЦИИ</w:t>
      </w:r>
    </w:p>
    <w:p w:rsidR="004501FE" w:rsidRDefault="004501FE">
      <w:pPr>
        <w:pStyle w:val="ConsPlusTitle"/>
        <w:jc w:val="center"/>
      </w:pPr>
      <w:r>
        <w:t>ПОСЛЕДСТВИЙ АВАРИЙ НА ОПАСНЫХ ПРОИЗВОДСТВЕННЫХ ОБЪЕКТАХ</w:t>
      </w:r>
    </w:p>
    <w:p w:rsidR="004501FE" w:rsidRDefault="004501FE">
      <w:pPr>
        <w:pStyle w:val="ConsPlusNormal"/>
        <w:jc w:val="center"/>
      </w:pPr>
    </w:p>
    <w:p w:rsidR="004501FE" w:rsidRDefault="004501F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 Правительство Российской Федерации постановляет: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разработке планов мероприятий по локализации и ликвидации последствий аварий на опасных производственных объектах.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 xml:space="preserve">2. Планы мероприятий по локализации и ликвидации последствий аварий на опасных производственных объектах, утвержденные до вступления в силу настоящего постановления, продолжают свое действие и пересматриваются по основаниям, указанным в </w:t>
      </w:r>
      <w:hyperlink w:anchor="P42" w:history="1">
        <w:r>
          <w:rPr>
            <w:color w:val="0000FF"/>
          </w:rPr>
          <w:t>пункте 7</w:t>
        </w:r>
      </w:hyperlink>
      <w:r>
        <w:t xml:space="preserve"> Положения, утвержденного настоящим постановлением.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4501FE" w:rsidRDefault="004501FE">
      <w:pPr>
        <w:pStyle w:val="ConsPlusNormal"/>
        <w:ind w:firstLine="540"/>
        <w:jc w:val="both"/>
      </w:pPr>
    </w:p>
    <w:p w:rsidR="004501FE" w:rsidRDefault="004501FE">
      <w:pPr>
        <w:pStyle w:val="ConsPlusNormal"/>
        <w:jc w:val="right"/>
      </w:pPr>
      <w:r>
        <w:t>Председатель Правительства</w:t>
      </w:r>
    </w:p>
    <w:p w:rsidR="004501FE" w:rsidRDefault="004501FE">
      <w:pPr>
        <w:pStyle w:val="ConsPlusNormal"/>
        <w:jc w:val="right"/>
      </w:pPr>
      <w:r>
        <w:t>Российской Федерации</w:t>
      </w:r>
    </w:p>
    <w:p w:rsidR="004501FE" w:rsidRDefault="004501FE">
      <w:pPr>
        <w:pStyle w:val="ConsPlusNormal"/>
        <w:jc w:val="right"/>
      </w:pPr>
      <w:r>
        <w:t>М.МИШУСТИН</w:t>
      </w:r>
    </w:p>
    <w:p w:rsidR="004501FE" w:rsidRDefault="004501FE">
      <w:pPr>
        <w:pStyle w:val="ConsPlusNormal"/>
        <w:jc w:val="right"/>
      </w:pPr>
    </w:p>
    <w:p w:rsidR="004501FE" w:rsidRDefault="004501FE">
      <w:pPr>
        <w:pStyle w:val="ConsPlusNormal"/>
        <w:jc w:val="right"/>
      </w:pPr>
    </w:p>
    <w:p w:rsidR="004501FE" w:rsidRDefault="004501FE">
      <w:pPr>
        <w:pStyle w:val="ConsPlusNormal"/>
        <w:jc w:val="right"/>
      </w:pPr>
    </w:p>
    <w:p w:rsidR="004501FE" w:rsidRDefault="004501FE">
      <w:pPr>
        <w:pStyle w:val="ConsPlusNormal"/>
        <w:jc w:val="right"/>
      </w:pPr>
    </w:p>
    <w:p w:rsidR="004501FE" w:rsidRDefault="004501FE">
      <w:pPr>
        <w:pStyle w:val="ConsPlusNormal"/>
        <w:jc w:val="right"/>
      </w:pPr>
    </w:p>
    <w:p w:rsidR="004501FE" w:rsidRDefault="004501FE">
      <w:pPr>
        <w:pStyle w:val="ConsPlusNormal"/>
        <w:jc w:val="right"/>
        <w:outlineLvl w:val="0"/>
      </w:pPr>
      <w:r>
        <w:t>Утверждено</w:t>
      </w:r>
    </w:p>
    <w:p w:rsidR="004501FE" w:rsidRDefault="004501FE">
      <w:pPr>
        <w:pStyle w:val="ConsPlusNormal"/>
        <w:jc w:val="right"/>
      </w:pPr>
      <w:r>
        <w:t>постановлением Правительства</w:t>
      </w:r>
    </w:p>
    <w:p w:rsidR="004501FE" w:rsidRDefault="004501FE">
      <w:pPr>
        <w:pStyle w:val="ConsPlusNormal"/>
        <w:jc w:val="right"/>
      </w:pPr>
      <w:r>
        <w:t>Российской Федерации</w:t>
      </w:r>
    </w:p>
    <w:p w:rsidR="004501FE" w:rsidRDefault="004501FE">
      <w:pPr>
        <w:pStyle w:val="ConsPlusNormal"/>
        <w:jc w:val="right"/>
      </w:pPr>
      <w:r>
        <w:t>от 15 сентября 2020 г. N 1437</w:t>
      </w:r>
    </w:p>
    <w:p w:rsidR="004501FE" w:rsidRDefault="004501FE">
      <w:pPr>
        <w:pStyle w:val="ConsPlusNormal"/>
        <w:jc w:val="right"/>
      </w:pPr>
    </w:p>
    <w:p w:rsidR="004501FE" w:rsidRDefault="004501FE">
      <w:pPr>
        <w:pStyle w:val="ConsPlusTitle"/>
        <w:jc w:val="center"/>
      </w:pPr>
      <w:bookmarkStart w:id="0" w:name="P28"/>
      <w:bookmarkEnd w:id="0"/>
      <w:r>
        <w:t>ПОЛОЖЕНИЕ</w:t>
      </w:r>
    </w:p>
    <w:p w:rsidR="004501FE" w:rsidRDefault="004501FE">
      <w:pPr>
        <w:pStyle w:val="ConsPlusTitle"/>
        <w:jc w:val="center"/>
      </w:pPr>
      <w:r>
        <w:t>О РАЗРАБОТКЕ ПЛАНОВ МЕРОПРИЯТИЙ ПО ЛОКАЛИЗАЦИИ И ЛИКВИДАЦИИ</w:t>
      </w:r>
    </w:p>
    <w:p w:rsidR="004501FE" w:rsidRDefault="004501FE">
      <w:pPr>
        <w:pStyle w:val="ConsPlusTitle"/>
        <w:jc w:val="center"/>
      </w:pPr>
      <w:r>
        <w:t>ПОСЛЕДСТВИЙ АВАРИЙ НА ОПАСНЫХ ПРОИЗВОДСТВЕННЫХ ОБЪЕКТАХ</w:t>
      </w:r>
    </w:p>
    <w:p w:rsidR="004501FE" w:rsidRDefault="004501FE">
      <w:pPr>
        <w:pStyle w:val="ConsPlusNormal"/>
        <w:ind w:firstLine="540"/>
        <w:jc w:val="both"/>
      </w:pPr>
    </w:p>
    <w:p w:rsidR="004501FE" w:rsidRDefault="004501FE">
      <w:pPr>
        <w:pStyle w:val="ConsPlusNormal"/>
        <w:ind w:firstLine="540"/>
        <w:jc w:val="both"/>
      </w:pPr>
      <w:r>
        <w:t>1. Положение о разработке планов мероприятий по локализации и ликвидации последствий аварий на опасных производственных объектах (далее - Положение) устанавливает порядок разработки планов мероприятий по локализации и ликвидации последствий аварий на опасных производственных объектах (далее - планы мероприятий) и требования к содержанию таких планов.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2. Планы мероприятий разрабатываются в целях обеспечения готовности организаций, эксплуатирующих опасные производственные объекты, к действиям по локализации и ликвидации последствий аварий на таких объектах.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 xml:space="preserve">3. Планы мероприятий разрабатываются для опасных производственных объектов, указанных в </w:t>
      </w:r>
      <w:hyperlink r:id="rId6" w:history="1">
        <w:r>
          <w:rPr>
            <w:color w:val="0000FF"/>
          </w:rPr>
          <w:t>пункте 2 статьи 10</w:t>
        </w:r>
      </w:hyperlink>
      <w:r>
        <w:t xml:space="preserve"> Федерального закона "О промышленной безопасности опасных производственных объектов" (далее - объекты).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4. В случае если 2 и более объектов, эксплуатируемых одной организацией, расположены на одном земельном участке или на смежных земельных участках, организация, эксплуатирующая эти объекты, вправе разрабатывать единый план мероприятий.</w:t>
      </w:r>
    </w:p>
    <w:p w:rsidR="004501FE" w:rsidRDefault="004501FE">
      <w:pPr>
        <w:pStyle w:val="ConsPlusNormal"/>
        <w:spacing w:before="220"/>
        <w:ind w:firstLine="540"/>
        <w:jc w:val="both"/>
      </w:pPr>
      <w:bookmarkStart w:id="1" w:name="P36"/>
      <w:bookmarkEnd w:id="1"/>
      <w:r>
        <w:lastRenderedPageBreak/>
        <w:t>5. Сроки действия планов мероприятий составляют:</w:t>
      </w:r>
    </w:p>
    <w:p w:rsidR="004501FE" w:rsidRDefault="004501FE">
      <w:pPr>
        <w:pStyle w:val="ConsPlusNormal"/>
        <w:spacing w:before="220"/>
        <w:ind w:firstLine="540"/>
        <w:jc w:val="both"/>
      </w:pPr>
      <w:bookmarkStart w:id="2" w:name="P37"/>
      <w:bookmarkEnd w:id="2"/>
      <w:r>
        <w:t>а) для шахт угольных и объектов, на которых ведутся горные работы в подземных условиях, - 6 месяцев;</w:t>
      </w:r>
    </w:p>
    <w:p w:rsidR="004501FE" w:rsidRDefault="004501FE">
      <w:pPr>
        <w:pStyle w:val="ConsPlusNormal"/>
        <w:spacing w:before="220"/>
        <w:ind w:firstLine="540"/>
        <w:jc w:val="both"/>
      </w:pPr>
      <w:bookmarkStart w:id="3" w:name="P38"/>
      <w:bookmarkEnd w:id="3"/>
      <w:r>
        <w:t>б) для объектов, на которых ведутся открытые горные работы, - 1 год;</w:t>
      </w:r>
    </w:p>
    <w:p w:rsidR="004501FE" w:rsidRDefault="004501FE">
      <w:pPr>
        <w:pStyle w:val="ConsPlusNormal"/>
        <w:spacing w:before="220"/>
        <w:ind w:firstLine="540"/>
        <w:jc w:val="both"/>
      </w:pPr>
      <w:bookmarkStart w:id="4" w:name="P39"/>
      <w:bookmarkEnd w:id="4"/>
      <w:r>
        <w:t xml:space="preserve">в) для объектов I, II и III классов опасности (за исключением объектов, указанных в </w:t>
      </w:r>
      <w:hyperlink w:anchor="P3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8" w:history="1">
        <w:r>
          <w:rPr>
            <w:color w:val="0000FF"/>
          </w:rPr>
          <w:t>"б"</w:t>
        </w:r>
      </w:hyperlink>
      <w:r>
        <w:t xml:space="preserve"> настоящего пункта) - 5 лет.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 xml:space="preserve">Срок действия пересмотренного плана мероприятий соответствует срокам, указанным в </w:t>
      </w:r>
      <w:hyperlink w:anchor="P3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9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 xml:space="preserve">6. В случае если в отношении расположенных на одном земельном участке или на смежных земельных участках 2 и более объектов, эксплуатируемых одной организацией, для которых </w:t>
      </w:r>
      <w:hyperlink w:anchor="P36" w:history="1">
        <w:r>
          <w:rPr>
            <w:color w:val="0000FF"/>
          </w:rPr>
          <w:t>пунктом 5</w:t>
        </w:r>
      </w:hyperlink>
      <w:r>
        <w:t xml:space="preserve"> настоящего Положения установлены различные сроки действия планов мероприятий, разрабатывается единый план мероприятий, срок его действия устанавливается равным наименьшему сроку, предусмотренному указанным </w:t>
      </w:r>
      <w:hyperlink w:anchor="P36" w:history="1">
        <w:r>
          <w:rPr>
            <w:color w:val="0000FF"/>
          </w:rPr>
          <w:t>пунктом</w:t>
        </w:r>
      </w:hyperlink>
      <w:r>
        <w:t xml:space="preserve"> в отношении этих объектов.</w:t>
      </w:r>
    </w:p>
    <w:p w:rsidR="004501FE" w:rsidRDefault="004501FE">
      <w:pPr>
        <w:pStyle w:val="ConsPlusNormal"/>
        <w:spacing w:before="220"/>
        <w:ind w:firstLine="540"/>
        <w:jc w:val="both"/>
      </w:pPr>
      <w:bookmarkStart w:id="5" w:name="P42"/>
      <w:bookmarkEnd w:id="5"/>
      <w:r>
        <w:t>7. Планы мероприятий пересматриваются: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а) не менее чем за 15 календарных дней до истечения срока действия предыдущего плана мероприятий;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б) не позднее 30 календарных дней после: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реконструкции, технического перевооружения объекта или внесения изменений в технологию производства;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внесения изменений в системы управления технологическими процессами на объекте;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изменения сведений, содержащихся в общих или специальных разделах плана мероприятий;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 xml:space="preserve">в) на основании выводов, указанных в </w:t>
      </w:r>
      <w:hyperlink r:id="rId7" w:history="1">
        <w:r>
          <w:rPr>
            <w:color w:val="0000FF"/>
          </w:rPr>
          <w:t>акте</w:t>
        </w:r>
      </w:hyperlink>
      <w:r>
        <w:t xml:space="preserve"> технического расследования причин аварий на объекте;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г) 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сведений, содержащихся в плане мероприятий, сведениям, полученным в ходе осуществления федерального государственного надзора в области промышленной безопасности;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д) на основании предостережения федерального органа исполнительной власти в области промышленной безопасности или его территориального органа о недопустимости нарушения обязательных требований промышленной безопасности в случае выявления указанными органами новых факторов риска по результатам технического расследования причин аварий на иных аналогичных объектах.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8. Планы мероприятий утверждаются руководителями (заместителями руководителей) организаций, эксплуатирующих объекты, либо руководителями обособленных подразделений юридических лиц (в случаях, предусмотренных положениями о таких обособленных подразделениях).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9. Планы мероприятий согласовываются руководителями (заместителями руководителей, в должностные обязанности которых входит согласование планов мероприятий) профессиональных аварийно-спасательных служб или профессиональных аварийно-спасательных формирований, которые привлекаются для локализации и ликвидации последствий аварий на объекте.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10. План мероприятий состоит из общих и специальных разделов.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11. Общие разделы плана мероприятий содержат следующие сведения: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а) характеристика объекта, в отношении которого разрабатывается план мероприятий;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б) сценарии наиболее вероятных аварий и наиболее опасных по последствиям аварий, а также источники (места) их возникновения;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lastRenderedPageBreak/>
        <w:t>в) характеристики аварийности, присущие объектам, в отношении которых разрабатывается план мероприятий, и травматизма на таких объектах;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г) количество сил и средств, используемых для локализации и ликвидации последствий аварий на объекте (далее - силы и средства), и их соответствие задачам по локализации и ликвидации последствий аварий;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д) организация взаимодействия сил и средств;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е) состав и дислокация сил и средств;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ж) порядок обеспечения постоянной готовности сил и средств к локализации и ликвидации последствий аварий на объекте с указанием организаций, которые несут ответственность за поддержание этих сил и средств в надлежащей степени готовности;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з) организация управления, связи и оповещения при авариях на объекте;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и) система взаимного обмена информацией между организациями - участниками локализации и ликвидации последствий аварий на объекте;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к) первоочередные действия при получении сигнала об авариях на объекте;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л) действия производственного персонала и аварийно-спасательных служб (формирований) по локализации и ликвидации аварий;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м) мероприятия, направленные на обеспечение безопасности населения (в случае если в результате аварий на объекте может возникнуть угроза безопасности населения);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>н) организация материально-технического, инженерного и финансового обеспечения операций по локализации и ликвидации аварий на объекте.</w:t>
      </w:r>
    </w:p>
    <w:p w:rsidR="004501FE" w:rsidRDefault="004501FE">
      <w:pPr>
        <w:pStyle w:val="ConsPlusNormal"/>
        <w:spacing w:before="220"/>
        <w:ind w:firstLine="540"/>
        <w:jc w:val="both"/>
      </w:pPr>
      <w:r>
        <w:t xml:space="preserve">12. Специальные разделы плана мероприятий (планы ликвидации аварий) разрабатываются на основании сведений, содержащихся в общих разделах плана мероприятий, и определяют порядок действий в случае аварий на объекте в соответствии с </w:t>
      </w:r>
      <w:hyperlink r:id="rId8" w:history="1">
        <w:r>
          <w:rPr>
            <w:color w:val="0000FF"/>
          </w:rPr>
          <w:t>требованиями</w:t>
        </w:r>
      </w:hyperlink>
      <w:r>
        <w:t>, установленными федеральными нормами и правилами в области промышленной безопасности.</w:t>
      </w:r>
    </w:p>
    <w:p w:rsidR="004501FE" w:rsidRDefault="004501FE">
      <w:pPr>
        <w:pStyle w:val="ConsPlusNormal"/>
        <w:jc w:val="both"/>
      </w:pPr>
    </w:p>
    <w:p w:rsidR="004501FE" w:rsidRDefault="004501FE">
      <w:pPr>
        <w:pStyle w:val="ConsPlusNormal"/>
        <w:jc w:val="both"/>
      </w:pPr>
    </w:p>
    <w:p w:rsidR="004501FE" w:rsidRDefault="00450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33A" w:rsidRDefault="0050233A">
      <w:bookmarkStart w:id="6" w:name="_GoBack"/>
      <w:bookmarkEnd w:id="6"/>
    </w:p>
    <w:sectPr w:rsidR="0050233A" w:rsidSect="00450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FE"/>
    <w:rsid w:val="004501FE"/>
    <w:rsid w:val="0050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44604-FF21-4DCD-AE78-7FE6A91C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DDB05F6693973E0871A72F9ABDC333CDA6257404EF1BF29FF51376642F92D140F84D49687C35BD75F46B144j2b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8DDB05F6693973E0871A72F9ABDC333EDB64514247F1BF29FF51376642F92D060FDCD89786DF52D44A10E00274E3F91C7539D5B9898E9Ej3b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DDB05F6693973E0871A72F9ABDC333EDB66514043F1BF29FF51376642F92D060FDCDB948ED60F870511BC4720F0F81C753BD4A5j8bAM" TargetMode="External"/><Relationship Id="rId5" Type="http://schemas.openxmlformats.org/officeDocument/2006/relationships/hyperlink" Target="consultantplus://offline/ref=C98DDB05F6693973E0871A72F9ABDC333EDB66514043F1BF29FF51376642F92D060FDCD89786DD5CDF4A10E00274E3F91C7539D5B9898E9Ej3b8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Алексеевна</dc:creator>
  <cp:keywords/>
  <dc:description/>
  <cp:lastModifiedBy>Жарова Анастасия Алексеевна</cp:lastModifiedBy>
  <cp:revision>1</cp:revision>
  <dcterms:created xsi:type="dcterms:W3CDTF">2021-01-11T12:27:00Z</dcterms:created>
  <dcterms:modified xsi:type="dcterms:W3CDTF">2021-01-11T12:28:00Z</dcterms:modified>
</cp:coreProperties>
</file>