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AB" w:rsidRDefault="000D35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35AB" w:rsidRDefault="000D35AB">
      <w:pPr>
        <w:pStyle w:val="ConsPlusNormal"/>
        <w:jc w:val="both"/>
        <w:outlineLvl w:val="0"/>
      </w:pPr>
    </w:p>
    <w:p w:rsidR="000D35AB" w:rsidRDefault="000D35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35AB" w:rsidRDefault="000D35AB">
      <w:pPr>
        <w:pStyle w:val="ConsPlusTitle"/>
        <w:jc w:val="center"/>
      </w:pPr>
    </w:p>
    <w:p w:rsidR="000D35AB" w:rsidRDefault="000D35AB">
      <w:pPr>
        <w:pStyle w:val="ConsPlusTitle"/>
        <w:jc w:val="center"/>
      </w:pPr>
      <w:r>
        <w:t>ПОСТАНОВЛЕНИЕ</w:t>
      </w:r>
    </w:p>
    <w:p w:rsidR="000D35AB" w:rsidRDefault="000D35AB">
      <w:pPr>
        <w:pStyle w:val="ConsPlusTitle"/>
        <w:jc w:val="center"/>
      </w:pPr>
      <w:r>
        <w:t>от 16 сентября 2020 г. N 1477</w:t>
      </w:r>
    </w:p>
    <w:p w:rsidR="000D35AB" w:rsidRDefault="000D35AB">
      <w:pPr>
        <w:pStyle w:val="ConsPlusTitle"/>
        <w:jc w:val="center"/>
      </w:pPr>
    </w:p>
    <w:p w:rsidR="000D35AB" w:rsidRDefault="000D35AB">
      <w:pPr>
        <w:pStyle w:val="ConsPlusTitle"/>
        <w:jc w:val="center"/>
      </w:pPr>
      <w:r>
        <w:t>О ЛИЦЕНЗИРОВАНИИ</w:t>
      </w:r>
    </w:p>
    <w:p w:rsidR="000D35AB" w:rsidRDefault="000D35AB">
      <w:pPr>
        <w:pStyle w:val="ConsPlusTitle"/>
        <w:jc w:val="center"/>
      </w:pPr>
      <w:r>
        <w:t>ДЕЯТЕЛЬНОСТИ ПО ПРОВЕДЕНИЮ ЭКСПЕРТИЗЫ</w:t>
      </w:r>
    </w:p>
    <w:p w:rsidR="000D35AB" w:rsidRDefault="000D35AB">
      <w:pPr>
        <w:pStyle w:val="ConsPlusTitle"/>
        <w:jc w:val="center"/>
      </w:pPr>
      <w:r>
        <w:t>ПРОМЫШЛЕННОЙ БЕЗОПАСНОСТИ</w:t>
      </w: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проведению экспертизы промышленной безопасности.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по экологическому, технологическому и атомному надзору в пределах установленной Правительством Российской Федерации предельной численности работников ее центрального аппарата и территориальных органов,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right"/>
      </w:pPr>
      <w:r>
        <w:t>Председатель Правительства</w:t>
      </w:r>
    </w:p>
    <w:p w:rsidR="000D35AB" w:rsidRDefault="000D35AB">
      <w:pPr>
        <w:pStyle w:val="ConsPlusNormal"/>
        <w:jc w:val="right"/>
      </w:pPr>
      <w:r>
        <w:t>Российской Федерации</w:t>
      </w:r>
    </w:p>
    <w:p w:rsidR="000D35AB" w:rsidRDefault="000D35AB">
      <w:pPr>
        <w:pStyle w:val="ConsPlusNormal"/>
        <w:jc w:val="right"/>
      </w:pPr>
      <w:r>
        <w:t>М.МИШУСТИН</w:t>
      </w: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right"/>
        <w:outlineLvl w:val="0"/>
      </w:pPr>
      <w:r>
        <w:t>Утверждено</w:t>
      </w:r>
    </w:p>
    <w:p w:rsidR="000D35AB" w:rsidRDefault="000D35AB">
      <w:pPr>
        <w:pStyle w:val="ConsPlusNormal"/>
        <w:jc w:val="right"/>
      </w:pPr>
      <w:r>
        <w:t>постановлением Правительства</w:t>
      </w:r>
    </w:p>
    <w:p w:rsidR="000D35AB" w:rsidRDefault="000D35AB">
      <w:pPr>
        <w:pStyle w:val="ConsPlusNormal"/>
        <w:jc w:val="right"/>
      </w:pPr>
      <w:r>
        <w:t>Российской Федерации</w:t>
      </w:r>
    </w:p>
    <w:p w:rsidR="000D35AB" w:rsidRDefault="000D35AB">
      <w:pPr>
        <w:pStyle w:val="ConsPlusNormal"/>
        <w:jc w:val="right"/>
      </w:pPr>
      <w:r>
        <w:t>от 16 сентября 2020 г. N 1477</w:t>
      </w: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Title"/>
        <w:jc w:val="center"/>
      </w:pPr>
      <w:bookmarkStart w:id="0" w:name="P28"/>
      <w:bookmarkEnd w:id="0"/>
      <w:r>
        <w:t>ПОЛОЖЕНИЕ</w:t>
      </w:r>
    </w:p>
    <w:p w:rsidR="000D35AB" w:rsidRDefault="000D35AB">
      <w:pPr>
        <w:pStyle w:val="ConsPlusTitle"/>
        <w:jc w:val="center"/>
      </w:pPr>
      <w:r>
        <w:t>О ЛИЦЕНЗИРОВАНИИ ДЕЯТЕЛЬНОСТИ ПО ПРОВЕДЕНИЮ ЭКСПЕРТИЗЫ</w:t>
      </w:r>
    </w:p>
    <w:p w:rsidR="000D35AB" w:rsidRDefault="000D35AB">
      <w:pPr>
        <w:pStyle w:val="ConsPlusTitle"/>
        <w:jc w:val="center"/>
      </w:pPr>
      <w:r>
        <w:t>ПРОМЫШЛЕННОЙ БЕЗОПАСНОСТИ</w:t>
      </w: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проведению экспертизы промышленной безопасности (далее - экспертиза) и осуществления федерального лицензионного контроля за деятельностью по проведению экспертизы промышленной безопасности (далее - лицензионный контроль).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2. Лицензирование деятельности по проведению экспертизы промышленной безопасности осуществляется Федеральной </w:t>
      </w:r>
      <w:hyperlink r:id="rId6" w:history="1">
        <w:r>
          <w:rPr>
            <w:color w:val="0000FF"/>
          </w:rPr>
          <w:t>службой</w:t>
        </w:r>
      </w:hyperlink>
      <w:r>
        <w:t xml:space="preserve"> по экологическому, технологическому и атомному надзору (далее - лицензирующий орган).</w:t>
      </w:r>
    </w:p>
    <w:p w:rsidR="000D35AB" w:rsidRDefault="000D35AB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Лицензируемая деятельность предусматривает выполнение в соответствии с </w:t>
      </w:r>
      <w:hyperlink r:id="rId7" w:history="1">
        <w:r>
          <w:rPr>
            <w:color w:val="0000FF"/>
          </w:rPr>
          <w:t>пунктом 1 статьи 13</w:t>
        </w:r>
      </w:hyperlink>
      <w:r>
        <w:t xml:space="preserve"> Федерального закона "О промышленной безопасности опасных производственных объектов" следующих работ (оказание услуг):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а) 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lastRenderedPageBreak/>
        <w:t>б)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в) 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г) 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д) 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е) 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4. Лицензионными требованиями к соискателю лицензии на осуществление лицензируемой деятельности являются: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а) наличие в штате соискателя лицензии как минимум 3 экспертов в области промышленной безопасности, которые соответствуют требованиям,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для которых работа в этой организации является основной;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б) наличие зданий или нежилых помещений, принадлежащих соискателю лицензии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</w:t>
      </w:r>
      <w:hyperlink r:id="rId10" w:history="1">
        <w:r>
          <w:rPr>
            <w:color w:val="0000FF"/>
          </w:rPr>
          <w:t>пунктом 8 статьи 13</w:t>
        </w:r>
      </w:hyperlink>
      <w:r>
        <w:t xml:space="preserve"> Федерального закона "О промышленной безопасности опасных производственных объектов".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5. Лицензионными требованиями к лицензиату при осуществлении лицензируемой деятельности являются:</w:t>
      </w:r>
    </w:p>
    <w:p w:rsidR="000D35AB" w:rsidRDefault="000D35AB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а) наличие в штате лицензиата как минимум 3 экспертов в области промышленной безопасности, которые соответствуют требованиям,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и для которых работа в этой организации является основной;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б) проведение экспертизы в соответствии с работами (услугами), указанными в лицензии, экспертами в области промышленной безопасности, соответствующими требованиям, установленным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0D35AB" w:rsidRDefault="000D35AB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в) проведение экспертизы и оформление результатов экспертизы в соответствии с требованиями, установленными нормативными правовыми актами Российской Федерации в области промышленной безопасности;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г) наличие зданий или нежилых помещений, принадлежащих лицензиату на праве собственности или на ином законном основании, используемых при осуществлении лицензируемой деятельности, а также оборудования, приборов, материалов и средств информационного обеспечения в соответствии с </w:t>
      </w:r>
      <w:hyperlink r:id="rId13" w:history="1">
        <w:r>
          <w:rPr>
            <w:color w:val="0000FF"/>
          </w:rPr>
          <w:t>пунктом 8 статьи 13</w:t>
        </w:r>
      </w:hyperlink>
      <w:r>
        <w:t xml:space="preserve"> Федерального закона "О промышленной безопасности опасных производственных объектов".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6. Для получения лицензии соискатель лицензии направляет или представляет в лицензирующий орган </w:t>
      </w:r>
      <w:r>
        <w:lastRenderedPageBreak/>
        <w:t xml:space="preserve">заявление, оформленное в соответствии с </w:t>
      </w:r>
      <w:hyperlink r:id="rId1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а также следующие документы и сведения: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а) копии приказов о приеме на работу экспертов в области промышленной безопасности, заверенные руководителем (заместителем руководителя) соискателя лицензии или его обособленного структурного подразделения;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б) реквизиты квалификационных удостоверений экспертов в области промышленной безопасности;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соискателю лицензии на праве собственности или на ином законном основании;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д) опись прилагаемых документов.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7. При намерении лицензиата изменить адрес места осуществления лицензируемого вида деятельности в заявлении о переоформлении лицензии указывается новый адрес осуществления лицензируемой деятельности, а также представляются следующие документы и сведения: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а) копии приказов о приеме на работу экспертов в области промышленной безопасности (с отметкой об ознакомлении с приказом), заверенные руководителем (заместителем руководителя) соискателя лицензии или его обособленного структурного подразделения;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б) реквизиты квалификационных удостоверений экспертов в области промышленной безопасности;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у лицензиата необходимых для осуществления лицензируемой деятельности и принадлежащих ему на праве собственности или на ином законном основании по новому адресу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г) перечень оборудования, приборов, материалов и средств информационного обеспечения, необходимых для осуществления лицензируемой деятельности и принадлежащих лицензиату на праве собственности или на ином законном основании;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д) опись прилагаемых документов.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8. Выполнение в рамках лицензируемой деятельности работ (оказание услуг), указанных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по адресу расположения опасного производственного объекта заказчика, а также с использованием средств дистанционного взаимодействия экспертов в области промышленной безопасности и работников организаций, эксплуатирующих опасные производственные объекты, не требует переоформления лицензии.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9. При намерении лицензиата выполнять работы (оказывать услуги), составляющие лицензируемую деятельность, не указанные в лицензии, в заявлении о переоформлении лицензии указываются наименования новых работ (услуг), а также представляются следующие документы и сведения: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а) копии приказов о приеме на работу экспертов в области промышленной безопасности (с отметкой об ознакомлении с приказом), заверенные руководителем (заместителем руководителя) соискателя лицензии или его обособленного структурного подразделения;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б) реквизиты квалификационных удостоверений экспертов в области промышленной безопасности;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lastRenderedPageBreak/>
        <w:t>в) копии документов, подтверждающих наличие у лицензиата необходимых для выполнения новых работ (оказания новых услуг) и принадлежащих на праве собственности или на ином законном основании по месту осуществления лицензируемой деятельности зданий или нежилых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зданиях или помещениях);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г) перечень оборудования, приборов, материалов и средств информационного обеспечения, необходимых для выполнения новых работ (оказания новых услуг) и принадлежащих лицензиату на праве собственности или на ином законном основании;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д) опись прилагаемых документов.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10. Грубым нарушением лицензионных требований является невыполнение лицензиатом требований,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7" w:history="1">
        <w:r>
          <w:rPr>
            <w:color w:val="0000FF"/>
          </w:rPr>
          <w:t>"в"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15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11.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12. Федеральный лицензионный контроль осуществляется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13. Лицензионный контроль осуществляется лицензирующим органом.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14. Предметом лицензионного контроля является соблюдение юридическим лицом лицензионных требований.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15. Лицензионный контроль осуществляется посредством организации и проведения мероприятий по профилактике нарушений лицензионных требований, наблюдения за соблюдением лицензионных требований при осуществлении деятельности в области промышленной безопасности юридическими лицами, проверок юридических лиц,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16. 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возникновения чрезвычайных ситуаций природного и техногенного характера, не проводятся.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17. Должностными лицами лицензирующего органа, осуществляющими лицензионный контроль, являются: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а) руководитель лицензирующего органа, его заместители;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б) 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в) федеральные государственные гражданские служащие категории "специалисты"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lastRenderedPageBreak/>
        <w:t>г) руководители территориальных органов лицензирующего органа, их заместители;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д) 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е) федеральные государственные гражданские служащие категории "специалисты" ведущей и старшей групп должностей в территориальных органах лицензирующего органа, в ведении которых находятся вопросы лицензионного контроля.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18. 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19. За предоставление или переоформление лицензии уплачивается государственная пошлина в </w:t>
      </w:r>
      <w:hyperlink r:id="rId20" w:history="1">
        <w:r>
          <w:rPr>
            <w:color w:val="0000FF"/>
          </w:rPr>
          <w:t>размерах</w:t>
        </w:r>
      </w:hyperlink>
      <w:r>
        <w:t xml:space="preserve"> и </w:t>
      </w:r>
      <w:hyperlink r:id="rId21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 xml:space="preserve">20. Информация, содержащая сведения, предусмотренные </w:t>
      </w:r>
      <w:hyperlink r:id="rId22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рабочих дней со дня: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0D35AB" w:rsidRDefault="000D35AB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jc w:val="both"/>
      </w:pPr>
    </w:p>
    <w:p w:rsidR="000D35AB" w:rsidRDefault="000D3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4" w:name="_GoBack"/>
      <w:bookmarkEnd w:id="4"/>
    </w:p>
    <w:sectPr w:rsidR="0050233A" w:rsidSect="000D3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B"/>
    <w:rsid w:val="000D35AB"/>
    <w:rsid w:val="005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5830-7A67-4C1A-AC11-EFE54E7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7FAC5E4FC5662893B06D618C9581841F7448E7FF21D0A0502198C2075A2F80029AC9AA7E8AC29A59DCECEDFF9EFBBB5F0504727KCC4N" TargetMode="External"/><Relationship Id="rId13" Type="http://schemas.openxmlformats.org/officeDocument/2006/relationships/hyperlink" Target="consultantplus://offline/ref=6CF7FAC5E4FC5662893B06D618C9581841F7448E7FF21D0A0502198C2075A2F80029AC9AA2EDAC29A59DCECEDFF9EFBBB5F0504727KCC4N" TargetMode="External"/><Relationship Id="rId18" Type="http://schemas.openxmlformats.org/officeDocument/2006/relationships/hyperlink" Target="consultantplus://offline/ref=6CF7FAC5E4FC5662893B06D618C9581841F5418A7EF31D0A0502198C2075A2F80029AC99A5EEA57EF1D2CF929AADFCBAB5F052463BC7CCCEK4C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7FAC5E4FC5662893B06D618C9581841F64C8B7DF01D0A0502198C2075A2F80029AC9FA2EFAC29A59DCECEDFF9EFBBB5F0504727KCC4N" TargetMode="External"/><Relationship Id="rId7" Type="http://schemas.openxmlformats.org/officeDocument/2006/relationships/hyperlink" Target="consultantplus://offline/ref=6CF7FAC5E4FC5662893B06D618C9581841F7448E7FF21D0A0502198C2075A2F80029AC99A6ECAC29A59DCECEDFF9EFBBB5F0504727KCC4N" TargetMode="External"/><Relationship Id="rId12" Type="http://schemas.openxmlformats.org/officeDocument/2006/relationships/hyperlink" Target="consultantplus://offline/ref=6CF7FAC5E4FC5662893B06D618C9581841F7448E7FF21D0A0502198C2075A2F81229F495A4EFB97DF5C799C3DCKFC9N" TargetMode="External"/><Relationship Id="rId17" Type="http://schemas.openxmlformats.org/officeDocument/2006/relationships/hyperlink" Target="consultantplus://offline/ref=6CF7FAC5E4FC5662893B06D618C9581841F7448F78FF1D0A0502198C2075A2F81229F495A4EFB97DF5C799C3DCKFC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7FAC5E4FC5662893B06D618C9581841F5418A7EF31D0A0502198C2075A2F80029AC99A5EEA678F6D2CF929AADFCBAB5F052463BC7CCCEK4CEN" TargetMode="External"/><Relationship Id="rId20" Type="http://schemas.openxmlformats.org/officeDocument/2006/relationships/hyperlink" Target="consultantplus://offline/ref=6CF7FAC5E4FC5662893B06D618C9581841F64C8B7DF01D0A0502198C2075A2F80029AC99A3EFA174FF8DCA878BF5F0BAAAEE535927C5CEKC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7FAC5E4FC5662893B06D618C9581841F5428E77F21D0A0502198C2075A2F80029AC99A5EEA675F1D2CF929AADFCBAB5F052463BC7CCCEK4CEN" TargetMode="External"/><Relationship Id="rId11" Type="http://schemas.openxmlformats.org/officeDocument/2006/relationships/hyperlink" Target="consultantplus://offline/ref=6CF7FAC5E4FC5662893B06D618C9581841F7448E7FF21D0A0502198C2075A2F80029AC99A5EEA47CFCD2CF929AADFCBAB5F052463BC7CCCEK4CE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CF7FAC5E4FC5662893B06D618C9581841F5418A7EF31D0A0502198C2075A2F80029AC99A5EEA679FDD2CF929AADFCBAB5F052463BC7CCCEK4CEN" TargetMode="External"/><Relationship Id="rId15" Type="http://schemas.openxmlformats.org/officeDocument/2006/relationships/hyperlink" Target="consultantplus://offline/ref=6CF7FAC5E4FC5662893B06D618C9581841F5418A7EF31D0A0502198C2075A2F80029AC99A5EEA578F0D2CF929AADFCBAB5F052463BC7CCCEK4C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F7FAC5E4FC5662893B06D618C9581841F7448E7FF21D0A0502198C2075A2F80029AC9AA2EDAC29A59DCECEDFF9EFBBB5F0504727KCC4N" TargetMode="External"/><Relationship Id="rId19" Type="http://schemas.openxmlformats.org/officeDocument/2006/relationships/hyperlink" Target="consultantplus://offline/ref=6CF7FAC5E4FC5662893B06D618C9581841F54C857BF01D0A0502198C2075A2F81229F495A4EFB97DF5C799C3DCKFC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F7FAC5E4FC5662893B06D618C9581841F7448E7FF21D0A0502198C2075A2F80029AC99A5EEA47CFCD2CF929AADFCBAB5F052463BC7CCCEK4CEN" TargetMode="External"/><Relationship Id="rId14" Type="http://schemas.openxmlformats.org/officeDocument/2006/relationships/hyperlink" Target="consultantplus://offline/ref=6CF7FAC5E4FC5662893B06D618C9581841F7448E7FF21D0A0502198C2075A2F80029AC99A6ECAC29A59DCECEDFF9EFBBB5F0504727KCC4N" TargetMode="External"/><Relationship Id="rId22" Type="http://schemas.openxmlformats.org/officeDocument/2006/relationships/hyperlink" Target="consultantplus://offline/ref=6CF7FAC5E4FC5662893B06D618C9581841F5418A7EF31D0A0502198C2075A2F80029AC99A5EEA575FDD2CF929AADFCBAB5F052463BC7CCCEK4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2021-01-11T13:02:00Z</dcterms:created>
  <dcterms:modified xsi:type="dcterms:W3CDTF">2021-01-11T13:04:00Z</dcterms:modified>
</cp:coreProperties>
</file>